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5C3CA6">
        <w:rPr>
          <w:b/>
          <w:sz w:val="32"/>
        </w:rPr>
        <w:t>FSC-STD-20-011</w:t>
      </w:r>
      <w:r w:rsidR="00254330">
        <w:rPr>
          <w:b/>
          <w:sz w:val="32"/>
        </w:rPr>
        <w:t xml:space="preserve"> Version </w:t>
      </w:r>
      <w:r w:rsidR="005C3CA6">
        <w:rPr>
          <w:b/>
          <w:sz w:val="32"/>
        </w:rPr>
        <w:t>1</w:t>
      </w:r>
      <w:r w:rsidR="00254330">
        <w:rPr>
          <w:b/>
          <w:sz w:val="32"/>
        </w:rPr>
        <w:t>-2</w:t>
      </w:r>
      <w:r>
        <w:rPr>
          <w:b/>
          <w:sz w:val="32"/>
        </w:rPr>
        <w:t xml:space="preserve"> Draft 2-0 EN </w:t>
      </w:r>
      <w:r w:rsidR="005C3CA6">
        <w:rPr>
          <w:b/>
          <w:sz w:val="32"/>
        </w:rPr>
        <w:t>Chain of Custody Evaluations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FB753C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Standard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="005C3CA6">
              <w:rPr>
                <w:sz w:val="18"/>
                <w:szCs w:val="18"/>
              </w:rPr>
              <w:t>FSC-STD-20</w:t>
            </w:r>
            <w:r w:rsidRPr="00FC1320">
              <w:rPr>
                <w:sz w:val="18"/>
                <w:szCs w:val="18"/>
              </w:rPr>
              <w:t>-0</w:t>
            </w:r>
            <w:r w:rsidR="005C3CA6">
              <w:rPr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5C3CA6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254330">
              <w:rPr>
                <w:sz w:val="18"/>
                <w:szCs w:val="28"/>
              </w:rPr>
              <w:t>-2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5C3CA6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22 October</w:t>
            </w:r>
            <w:r w:rsidR="00884A9F" w:rsidRPr="00B625FA">
              <w:rPr>
                <w:color w:val="FF0000"/>
                <w:sz w:val="18"/>
                <w:szCs w:val="28"/>
              </w:rPr>
              <w:t xml:space="preserve"> 2013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6" w:history="1">
        <w:r w:rsidRPr="00413A8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086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A" w:rsidRDefault="00B625FA" w:rsidP="00FC1320">
      <w:pPr>
        <w:spacing w:after="0" w:line="240" w:lineRule="auto"/>
      </w:pPr>
      <w:r>
        <w:separator/>
      </w:r>
    </w:p>
  </w:endnote>
  <w:end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E16913">
        <w:pPr>
          <w:pStyle w:val="Footer"/>
          <w:jc w:val="right"/>
        </w:pPr>
        <w:fldSimple w:instr=" PAGE   \* MERGEFORMAT ">
          <w:r w:rsidR="00254330">
            <w:rPr>
              <w:noProof/>
            </w:rPr>
            <w:t>1</w:t>
          </w:r>
        </w:fldSimple>
      </w:p>
    </w:sdtContent>
  </w:sdt>
  <w:p w:rsidR="00B625FA" w:rsidRDefault="00B62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A" w:rsidRDefault="00B625FA" w:rsidP="00FC1320">
      <w:pPr>
        <w:spacing w:after="0" w:line="240" w:lineRule="auto"/>
      </w:pPr>
      <w:r>
        <w:separator/>
      </w:r>
    </w:p>
  </w:footnote>
  <w:foot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58"/>
    <w:rsid w:val="00042551"/>
    <w:rsid w:val="000B1A14"/>
    <w:rsid w:val="000D7DAB"/>
    <w:rsid w:val="00130A1B"/>
    <w:rsid w:val="001530BE"/>
    <w:rsid w:val="00254330"/>
    <w:rsid w:val="00263847"/>
    <w:rsid w:val="004D436D"/>
    <w:rsid w:val="004D75D9"/>
    <w:rsid w:val="005C3CA6"/>
    <w:rsid w:val="006D5811"/>
    <w:rsid w:val="00713BBC"/>
    <w:rsid w:val="00884A9F"/>
    <w:rsid w:val="00A01637"/>
    <w:rsid w:val="00A05FF8"/>
    <w:rsid w:val="00A765FD"/>
    <w:rsid w:val="00B625FA"/>
    <w:rsid w:val="00B64975"/>
    <w:rsid w:val="00B77DA5"/>
    <w:rsid w:val="00C534E3"/>
    <w:rsid w:val="00C91D7F"/>
    <w:rsid w:val="00E16913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Dorothee Jung</cp:lastModifiedBy>
  <cp:revision>6</cp:revision>
  <dcterms:created xsi:type="dcterms:W3CDTF">2013-01-23T13:16:00Z</dcterms:created>
  <dcterms:modified xsi:type="dcterms:W3CDTF">2013-08-22T15:49:00Z</dcterms:modified>
</cp:coreProperties>
</file>