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"/>
        <w:rPr>
          <w:rFonts w:ascii="Greycliff CF Bold" w:cs="Greycliff CF Bold" w:hAnsi="Greycliff CF Bold" w:eastAsia="Greycliff CF Bold"/>
        </w:rPr>
      </w:pPr>
    </w:p>
    <w:p>
      <w:pPr>
        <w:pStyle w:val="Intestazione"/>
        <w:rPr>
          <w:rFonts w:ascii="Greycliff CF Bold" w:cs="Greycliff CF Bold" w:hAnsi="Greycliff CF Bold" w:eastAsia="Greycliff CF Bold"/>
        </w:rPr>
      </w:pPr>
    </w:p>
    <w:p>
      <w:pPr>
        <w:pStyle w:val="Intestazione"/>
        <w:rPr>
          <w:rFonts w:ascii="Greycliff CF Bold" w:cs="Greycliff CF Bold" w:hAnsi="Greycliff CF Bold" w:eastAsia="Greycliff CF Bold"/>
        </w:rPr>
      </w:pPr>
      <w:r>
        <w:rPr>
          <w:rFonts w:ascii="Greycliff CF Bold" w:cs="Greycliff CF Bold" w:hAnsi="Greycliff CF Bold" w:eastAsia="Greycliff CF Bold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534034</wp:posOffset>
                </wp:positionH>
                <wp:positionV relativeFrom="page">
                  <wp:posOffset>901064</wp:posOffset>
                </wp:positionV>
                <wp:extent cx="2298912" cy="565660"/>
                <wp:effectExtent l="0" t="0" r="0" b="0"/>
                <wp:wrapSquare wrapText="bothSides" distL="152400" distR="152400" distT="152400" distB="152400"/>
                <wp:docPr id="1073741831" name="officeArt object" descr="Forest Stewardship Council®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912" cy="5656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ddress block Head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Forest Stewardship Council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rtl w:val="0"/>
                                <w:lang w:val="en-US"/>
                              </w:rPr>
                              <w:t>®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.0pt;margin-top:70.9pt;width:181.0pt;height:44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block Head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Forest Stewardship Council</w:t>
                      </w:r>
                      <w:r>
                        <w:rPr>
                          <w:sz w:val="28"/>
                          <w:szCs w:val="28"/>
                          <w:vertAlign w:val="superscript"/>
                          <w:rtl w:val="0"/>
                          <w:lang w:val="en-US"/>
                        </w:rPr>
                        <w:t>®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  <w10:wrap type="square" side="bothSides" anchorx="page" anchory="page"/>
              </v:rect>
            </w:pict>
          </mc:Fallback>
        </mc:AlternateContent>
      </w:r>
      <w:r>
        <w:rPr>
          <w:rFonts w:ascii="Greycliff CF Bold" w:hAnsi="Greycliff CF Bold"/>
          <w:rtl w:val="0"/>
          <w:lang w:val="it-IT"/>
        </w:rPr>
        <w:t>COMUNICATO STAMPA</w:t>
      </w:r>
      <w:r>
        <w:rPr>
          <w:rFonts w:ascii="Greycliff CF Bold" w:cs="Greycliff CF Bold" w:hAnsi="Greycliff CF Bold" w:eastAsia="Greycliff CF Bold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4652710</wp:posOffset>
            </wp:positionH>
            <wp:positionV relativeFrom="page">
              <wp:posOffset>809898</wp:posOffset>
            </wp:positionV>
            <wp:extent cx="1738027" cy="762956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3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3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2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2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2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32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27" cy="762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spacing w:before="0" w:after="0" w:line="288" w:lineRule="auto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FSC </w:t>
      </w:r>
      <w:r>
        <w:rPr>
          <w:b w:val="1"/>
          <w:bCs w:val="1"/>
          <w:rtl w:val="0"/>
          <w:lang w:val="it-IT"/>
        </w:rPr>
        <w:t>presenta 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innovativo programma </w:t>
      </w:r>
      <w:r>
        <w:rPr>
          <w:b w:val="1"/>
          <w:bCs w:val="1"/>
          <w:rtl w:val="0"/>
          <w:lang w:val="da-DK"/>
        </w:rPr>
        <w:t>EUDR Aligned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Il Forest Stewardship Council (FSC)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lancia oggi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un nuovo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strument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o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per aiutare le aziende a conformarsi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al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Regolamento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europeo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sui prodotti esenti da deforestazione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Bonn</w:t>
      </w:r>
      <w:r>
        <w:rPr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, 03/07/2024 -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Annunciato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oggi il lancio dell</w:t>
      </w:r>
      <w:r>
        <w:rPr>
          <w:outline w:val="0"/>
          <w:color w:val="000000"/>
          <w:sz w:val="22"/>
          <w:szCs w:val="22"/>
          <w:rtl w:val="1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FSC EUDR Aligned, una nuova soluzione progettata per supportare la conformit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al Regulation on Deforestation Free Products (EUDR).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Questo strumento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mira a semplificare il complesso compito di soddisfare i requisiti EUDR per le aziende che commerciano prodotti di origine forestale in Europa.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L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FSC EUDR Aligned supporter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le aziende attraverso due componenti chiave: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Certificazione FSC EUDR Aligned: disponibile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a partire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dal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l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rtl w:val="0"/>
          <w:lang w:val="ru-RU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1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L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uglio 2024, questo modulo aggiuntivo si basa sui rigorosi standard FSC esistenti,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ed incorpora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le specifiche normative richieste in materia di valutazione del rischio, due diligence e trasparenza della catena di approvvigionamento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;</w:t>
      </w:r>
    </w:p>
    <w:p>
      <w:pPr>
        <w:pStyle w:val="Di 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FSC EUDR Aligned Reporting: verr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lanciato il 30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A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gosto 2024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il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sistema automatizzato di compilazione dei dati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che vuole aiutare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le aziende a generare sintesi e dichiarazioni di dovuta diligenza, oltre a migliorare la tracciabilit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e la gestione dei dati nelle catene di approvvigionamento complesse.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outline w:val="0"/>
          <w:color w:val="000000"/>
          <w:sz w:val="22"/>
          <w:szCs w:val="22"/>
          <w:rtl w:val="1"/>
          <w:lang w:val="ar-SA" w:bidi="ar-SA"/>
          <w14:textFill>
            <w14:solidFill>
              <w14:srgbClr w14:val="000000">
                <w14:alpha w14:val="15294"/>
              </w14:srgbClr>
            </w14:solidFill>
          </w14:textFill>
        </w:rPr>
        <w:t>“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La deforestazione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è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uno dei principali fattori che influenzano la crisi climatica e la perdita di biodiversit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à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.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Oggi l</w:t>
      </w:r>
      <w:r>
        <w:rPr>
          <w:outline w:val="0"/>
          <w:color w:val="000000"/>
          <w:sz w:val="22"/>
          <w:szCs w:val="22"/>
          <w:rtl w:val="1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Unione Europea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purtroppo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vi contribuisce consumando una quota significativa di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materie prime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. Con l'avvicinarsi di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D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icembre 2024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[data di piena entrata in vigore del Regolamento, ndr]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, siamo impegnati a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fornire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strumenti in grado di supportare le aziende nel soddisfare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i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nuovi requisiti in modo efficiente ed efficace", ha dichiarato Marc Jessel, Chief System Integrity Officer alla guida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della strategia di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allineamento intrapres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a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da FSC per l'EUDR.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“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L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’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FSC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EUDR Aligned fa leva sulla nostra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trentennale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esperienza di gestione forestale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responsabile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per fornire una soluzione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su misura, a supporto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del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le aziende di tutte le dimensioni".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FSC sta gi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supportando oltre 20 aziende nell'implementazione della certificazione FSC EUDR Aligned attraverso il suo Early Adopters Onboarding Programme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, i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l programma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che ha invitato alcune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aziende selezionate a implementare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in anticipo una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suite di soluzioni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per l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EUDR</w:t>
      </w:r>
      <w:r>
        <w:rPr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. Jerry Foo,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D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irettore dell</w:t>
      </w:r>
      <w:r>
        <w:rPr>
          <w:outline w:val="0"/>
          <w:color w:val="000000"/>
          <w:sz w:val="22"/>
          <w:szCs w:val="22"/>
          <w:rtl w:val="1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azienda thailandese di lattice Tat Win, ha condiviso la sua esperienza: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"Siamo orgogliosi di far parte dell'Early Adopters Onboarding Programme, che ha migliorato la nostra capacit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di soddisfare i requisiti EUDR. La valutazione semplificata del rischio fornita dall</w:t>
      </w:r>
      <w:r>
        <w:rPr>
          <w:outline w:val="0"/>
          <w:color w:val="000000"/>
          <w:sz w:val="22"/>
          <w:szCs w:val="22"/>
          <w:rtl w:val="1"/>
          <w14:textFill>
            <w14:solidFill>
              <w14:srgbClr w14:val="000000">
                <w14:alpha w14:val="15294"/>
              </w14:srgbClr>
            </w14:solidFill>
          </w14:textFill>
        </w:rPr>
        <w:t>’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FSC Regulatory Module ha snellito i nostri processi, rendendo pi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ù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facile identificare, valutare e mitigare i potenziali rischi associati alla deforestazione nella nostra catena di approvvigionamento. Raccomandiamo vivamente il nuovo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m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odulo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n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ormativo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messo a punto </w:t>
      </w:r>
      <w:r>
        <w:rPr>
          <w:outline w:val="0"/>
          <w:color w:val="000000"/>
          <w:sz w:val="22"/>
          <w:szCs w:val="22"/>
          <w:rtl w:val="0"/>
          <w:lang w:val="de-DE"/>
          <w14:textFill>
            <w14:solidFill>
              <w14:srgbClr w14:val="000000">
                <w14:alpha w14:val="15294"/>
              </w14:srgbClr>
            </w14:solidFill>
          </w14:textFill>
        </w:rPr>
        <w:t>FSC".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Per ulteriori informazioni sull'FSC EUDR Aligned e su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come questo strumento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sosterr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à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il passaggio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ad un mercato europeo di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prodotti forestali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>liberi da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deforestazione,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è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possibile </w:t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visitare il sito </w:t>
      </w:r>
      <w:r>
        <w:rPr>
          <w:rStyle w:val="Hyperlink.0"/>
          <w:outline w:val="0"/>
          <w:color w:val="0563c1"/>
          <w:sz w:val="22"/>
          <w:szCs w:val="22"/>
          <w:u w:val="single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outline w:val="0"/>
          <w:color w:val="0563c1"/>
          <w:sz w:val="22"/>
          <w:szCs w:val="22"/>
          <w:u w:val="single"/>
          <w:rtl w:val="0"/>
          <w14:textFill>
            <w14:solidFill>
              <w14:srgbClr w14:val="0563C1"/>
            </w14:solidFill>
          </w14:textFill>
        </w:rPr>
        <w:instrText xml:space="preserve"> HYPERLINK "http://www.fsc.org/EUDR"</w:instrText>
      </w:r>
      <w:r>
        <w:rPr>
          <w:rStyle w:val="Hyperlink.0"/>
          <w:outline w:val="0"/>
          <w:color w:val="0563c1"/>
          <w:sz w:val="22"/>
          <w:szCs w:val="22"/>
          <w:u w:val="single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outline w:val="0"/>
          <w:color w:val="0563c1"/>
          <w:sz w:val="22"/>
          <w:szCs w:val="22"/>
          <w:u w:val="single"/>
          <w:rtl w:val="0"/>
          <w14:textFill>
            <w14:solidFill>
              <w14:srgbClr w14:val="0563C1"/>
            </w14:solidFill>
          </w14:textFill>
        </w:rPr>
        <w:t>www.fsc.org/EUDR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fldChar w:fldCharType="end" w:fldLock="0"/>
      </w:r>
      <w:r>
        <w:rPr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o contattare </w:t>
      </w:r>
      <w:r>
        <w:rPr>
          <w:rStyle w:val="Hyperlink.0"/>
          <w:outline w:val="0"/>
          <w:color w:val="0563c1"/>
          <w:sz w:val="22"/>
          <w:szCs w:val="22"/>
          <w:u w:val="single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outline w:val="0"/>
          <w:color w:val="0563c1"/>
          <w:sz w:val="22"/>
          <w:szCs w:val="22"/>
          <w:u w:val="single"/>
          <w:rtl w:val="0"/>
          <w14:textFill>
            <w14:solidFill>
              <w14:srgbClr w14:val="0563C1"/>
            </w14:solidFill>
          </w14:textFill>
        </w:rPr>
        <w:instrText xml:space="preserve"> HYPERLINK "mailto:EUDR@fsc.org"</w:instrText>
      </w:r>
      <w:r>
        <w:rPr>
          <w:rStyle w:val="Hyperlink.0"/>
          <w:outline w:val="0"/>
          <w:color w:val="0563c1"/>
          <w:sz w:val="22"/>
          <w:szCs w:val="22"/>
          <w:u w:val="single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outline w:val="0"/>
          <w:color w:val="0563c1"/>
          <w:sz w:val="22"/>
          <w:szCs w:val="22"/>
          <w:u w:val="single"/>
          <w:rtl w:val="0"/>
          <w:lang w:val="de-DE"/>
          <w14:textFill>
            <w14:solidFill>
              <w14:srgbClr w14:val="0563C1"/>
            </w14:solidFill>
          </w14:textFill>
        </w:rPr>
        <w:t>EUDR@fsc.org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fldChar w:fldCharType="end" w:fldLock="0"/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.</w:t>
      </w:r>
      <w:r>
        <w:rPr>
          <w:outline w:val="0"/>
          <w:color w:val="000000"/>
          <w:sz w:val="22"/>
          <w:szCs w:val="22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spacing w:before="0" w:after="0"/>
        <w:rPr>
          <w:rStyle w:val="Nessuno"/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en-US"/>
        </w:rPr>
        <w:t>***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64" w:lineRule="auto"/>
        <w:ind w:left="0" w:right="0" w:firstLine="0"/>
        <w:jc w:val="left"/>
        <w:outlineLvl w:val="9"/>
        <w:rPr>
          <w:rStyle w:val="Nessuno"/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b1b16"/>
          <w:spacing w:val="0"/>
          <w:kern w:val="0"/>
          <w:position w:val="0"/>
          <w:sz w:val="20"/>
          <w:szCs w:val="20"/>
          <w:u w:val="none" w:color="0b1b16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B1B16"/>
            </w14:solidFill>
          </w14:textFill>
        </w:rPr>
      </w:pPr>
      <w:r>
        <w:rPr>
          <w:rStyle w:val="Nessuno"/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b1b16"/>
          <w:spacing w:val="0"/>
          <w:kern w:val="0"/>
          <w:position w:val="0"/>
          <w:sz w:val="20"/>
          <w:szCs w:val="20"/>
          <w:u w:val="none" w:color="0b1b16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B1B16"/>
            </w14:solidFill>
          </w14:textFill>
        </w:rPr>
        <w:t>Il Forest Stewardship Council</w:t>
      </w:r>
      <w:r>
        <w:rPr>
          <w:rStyle w:val="Nessuno"/>
          <w:rFonts w:ascii="Arial" w:cs="Arial Unicode MS" w:hAnsi="Arial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b1b16"/>
          <w:spacing w:val="0"/>
          <w:kern w:val="0"/>
          <w:position w:val="0"/>
          <w:sz w:val="20"/>
          <w:szCs w:val="20"/>
          <w:u w:val="none" w:color="0b1b16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B1B16"/>
            </w14:solidFill>
          </w14:textFill>
        </w:rPr>
        <w:t xml:space="preserve">® </w:t>
      </w:r>
      <w:r>
        <w:rPr>
          <w:rStyle w:val="Nessuno"/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b1b16"/>
          <w:spacing w:val="0"/>
          <w:kern w:val="0"/>
          <w:position w:val="0"/>
          <w:sz w:val="20"/>
          <w:szCs w:val="20"/>
          <w:u w:val="none" w:color="0b1b16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B1B16"/>
            </w14:solidFill>
          </w14:textFill>
        </w:rPr>
        <w:t>(FSC</w:t>
      </w:r>
      <w:r>
        <w:rPr>
          <w:rStyle w:val="Nessuno"/>
          <w:rFonts w:ascii="Arial" w:cs="Arial Unicode MS" w:hAnsi="Arial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b1b16"/>
          <w:spacing w:val="0"/>
          <w:kern w:val="0"/>
          <w:position w:val="0"/>
          <w:sz w:val="20"/>
          <w:szCs w:val="20"/>
          <w:u w:val="none" w:color="0b1b16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B1B16"/>
            </w14:solidFill>
          </w14:textFill>
        </w:rPr>
        <w:t>®</w:t>
      </w:r>
      <w:r>
        <w:rPr>
          <w:rStyle w:val="Nessuno"/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b1b16"/>
          <w:spacing w:val="0"/>
          <w:kern w:val="0"/>
          <w:position w:val="0"/>
          <w:sz w:val="20"/>
          <w:szCs w:val="20"/>
          <w:u w:val="none" w:color="0b1b16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B1B16"/>
            </w14:solidFill>
          </w14:textFill>
        </w:rPr>
        <w:t xml:space="preserve">) </w:t>
      </w:r>
    </w:p>
    <w:p>
      <w:pPr>
        <w:pStyle w:val="Corpo"/>
        <w:spacing w:before="0" w:after="0"/>
        <w:rPr>
          <w:rStyle w:val="Nessuno"/>
          <w:rFonts w:ascii="Arial" w:cs="Arial" w:hAnsi="Arial" w:eastAsia="Arial"/>
          <w:i w:val="1"/>
          <w:iCs w:val="1"/>
          <w:sz w:val="20"/>
          <w:szCs w:val="20"/>
          <w:lang w:val="it-IT"/>
        </w:rPr>
      </w:pP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Il Forest Stewardship Council (FSC) </w:t>
      </w:r>
      <w:r>
        <w:rPr>
          <w:rStyle w:val="Nessuno"/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</w:rPr>
        <w:t>un</w:t>
      </w:r>
      <w:r>
        <w:rPr>
          <w:rStyle w:val="Nessuno"/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</w:rPr>
        <w:t>organizzazione non governativa e no-profit che promuove la gestione responsabile di foreste e piantagioni. Include tra i suoi 1.200 soci internazionali gruppi ambientalisti e sociali, comunit</w:t>
      </w:r>
      <w:r>
        <w:rPr>
          <w:rStyle w:val="Nessuno"/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indigene, proprietari forestali, industrie che lavorano e commercializzano prodotti forestali, gruppi della grande distribuzione organizzata, ricercatori e tecnici. </w:t>
      </w:r>
    </w:p>
    <w:p>
      <w:pPr>
        <w:pStyle w:val="Corpo"/>
        <w:spacing w:before="0" w:after="0"/>
        <w:rPr>
          <w:rStyle w:val="Nessuno"/>
          <w:rFonts w:ascii="Arial" w:cs="Arial" w:hAnsi="Arial" w:eastAsia="Arial"/>
          <w:i w:val="1"/>
          <w:iCs w:val="1"/>
          <w:sz w:val="20"/>
          <w:szCs w:val="20"/>
          <w:lang w:val="it-IT"/>
        </w:rPr>
      </w:pP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</w:rPr>
        <w:t>Il marchio FSC identifica i prodotti contenenti legno proveniente da foreste gestite in maniera corretta e responsabile, secondo rigorosi criteri ambientali, sociali ed economici: la foresta di origine viene infatti controllata e valutata in maniera indipendente in conformit</w:t>
      </w:r>
      <w:r>
        <w:rPr>
          <w:rStyle w:val="Nessuno"/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</w:rPr>
        <w:t>a questi criteri, stabiliti ed approvati dal Forest Stewardship Council International tramite la partecipazione e il consenso di tutte le parti interessate.</w:t>
      </w:r>
      <w:r>
        <w:rPr>
          <w:rStyle w:val="Nessuno"/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 </w:t>
      </w:r>
    </w:p>
    <w:p>
      <w:pPr>
        <w:pStyle w:val="Corpo"/>
        <w:spacing w:before="0" w:after="0"/>
        <w:rPr>
          <w:rStyle w:val="Nessuno"/>
          <w:rFonts w:ascii="Arial" w:cs="Arial" w:hAnsi="Arial" w:eastAsia="Arial"/>
          <w:i w:val="1"/>
          <w:iCs w:val="1"/>
          <w:sz w:val="20"/>
          <w:szCs w:val="20"/>
          <w:lang w:val="it-IT"/>
        </w:rPr>
      </w:pP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FSC Italia nasce nel 2001 come associazione no-profit, in armonia con gli obiettivi di FSC International. Il marchio ha assunto un ruolo di primo piano nel mercato dei prodotti forestali quali legno, carta e prodotti non legnosi (come ad esempio il sughero), collocando il nostro Paese al secondo posto nella classifica internazionale e al primo in quello europeo per quel che riguarda le certificazioni di filiere (Catena di Custodia).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64" w:lineRule="auto"/>
        <w:ind w:left="0" w:right="0" w:firstLine="0"/>
        <w:jc w:val="left"/>
        <w:outlineLvl w:val="9"/>
        <w:rPr>
          <w:rStyle w:val="Nessuno"/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0" w:after="0"/>
        <w:rPr>
          <w:rStyle w:val="Nessuno"/>
          <w:b w:val="1"/>
          <w:bCs w:val="1"/>
          <w:i w:val="1"/>
          <w:iCs w:val="1"/>
          <w:sz w:val="20"/>
          <w:szCs w:val="20"/>
          <w:lang w:val="it-IT"/>
        </w:rPr>
      </w:pPr>
    </w:p>
    <w:p>
      <w:pPr>
        <w:pStyle w:val="Corpo"/>
        <w:spacing w:before="0" w:after="0"/>
        <w:rPr>
          <w:rStyle w:val="Nessuno"/>
          <w:i w:val="1"/>
          <w:iCs w:val="1"/>
          <w:sz w:val="20"/>
          <w:szCs w:val="20"/>
          <w:lang w:val="it-IT"/>
        </w:rPr>
      </w:pPr>
    </w:p>
    <w:p>
      <w:pPr>
        <w:pStyle w:val="Corpo"/>
        <w:spacing w:before="0" w:after="0"/>
        <w:rPr>
          <w:rStyle w:val="Nessuno"/>
          <w:i w:val="1"/>
          <w:iCs w:val="1"/>
          <w:sz w:val="20"/>
          <w:szCs w:val="20"/>
          <w:lang w:val="it-IT"/>
        </w:rPr>
      </w:pPr>
    </w:p>
    <w:p>
      <w:pPr>
        <w:pStyle w:val="Corpo"/>
        <w:spacing w:before="0" w:after="0"/>
        <w:rPr>
          <w:rStyle w:val="Nessuno"/>
          <w:rFonts w:ascii="Arial" w:cs="Arial" w:hAnsi="Arial" w:eastAsia="Arial"/>
          <w:sz w:val="20"/>
          <w:szCs w:val="20"/>
          <w:lang w:val="it-IT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>Ufficio stampa FSC Italia</w:t>
      </w:r>
    </w:p>
    <w:p>
      <w:pPr>
        <w:pStyle w:val="Corpo"/>
        <w:spacing w:before="0" w:after="0"/>
        <w:rPr>
          <w:rStyle w:val="Nessuno"/>
          <w:rFonts w:ascii="Arial" w:cs="Arial" w:hAnsi="Arial" w:eastAsia="Arial"/>
          <w:sz w:val="20"/>
          <w:szCs w:val="20"/>
          <w:lang w:val="it-IT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>Alberto Pauletto</w:t>
      </w:r>
    </w:p>
    <w:p>
      <w:pPr>
        <w:pStyle w:val="Corpo"/>
        <w:spacing w:before="0" w:after="0"/>
        <w:rPr>
          <w:rStyle w:val="Nessuno"/>
          <w:rFonts w:ascii="Arial" w:cs="Arial" w:hAnsi="Arial" w:eastAsia="Arial"/>
          <w:sz w:val="20"/>
          <w:szCs w:val="20"/>
          <w:lang w:val="it-IT"/>
        </w:rPr>
      </w:pPr>
      <w:r>
        <w:rPr>
          <w:rStyle w:val="Hyperlink.1"/>
          <w:rFonts w:ascii="Arial" w:cs="Arial" w:hAnsi="Arial" w:eastAsia="Arial"/>
          <w:outline w:val="0"/>
          <w:color w:val="0000ff"/>
          <w:sz w:val="20"/>
          <w:szCs w:val="20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0000ff"/>
          <w:sz w:val="20"/>
          <w:szCs w:val="20"/>
          <w:u w:val="single" w:color="0000ff"/>
          <w:lang w:val="it-IT"/>
          <w14:textFill>
            <w14:solidFill>
              <w14:srgbClr w14:val="0000FF"/>
            </w14:solidFill>
          </w14:textFill>
        </w:rPr>
        <w:instrText xml:space="preserve"> HYPERLINK "mailto:a.pauletto@it.fsc.org"</w:instrText>
      </w:r>
      <w:r>
        <w:rPr>
          <w:rStyle w:val="Hyperlink.1"/>
          <w:rFonts w:ascii="Arial" w:cs="Arial" w:hAnsi="Arial" w:eastAsia="Arial"/>
          <w:outline w:val="0"/>
          <w:color w:val="0000ff"/>
          <w:sz w:val="20"/>
          <w:szCs w:val="20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0000ff"/>
          <w:sz w:val="20"/>
          <w:szCs w:val="2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a.pauletto@it.fsc.org</w:t>
      </w:r>
      <w:r>
        <w:rPr>
          <w:rFonts w:ascii="Times New Roman" w:cs="Times New Roman" w:hAnsi="Times New Roman" w:eastAsia="Times New Roman"/>
          <w:sz w:val="24"/>
          <w:szCs w:val="24"/>
          <w:lang w:val="it-IT"/>
        </w:rPr>
        <w:fldChar w:fldCharType="end" w:fldLock="0"/>
      </w:r>
    </w:p>
    <w:p>
      <w:pPr>
        <w:pStyle w:val="Corpo"/>
        <w:spacing w:before="0" w:after="0"/>
        <w:rPr>
          <w:rStyle w:val="Nessuno"/>
          <w:rFonts w:ascii="Arial" w:cs="Arial" w:hAnsi="Arial" w:eastAsia="Arial"/>
          <w:b w:val="1"/>
          <w:bCs w:val="1"/>
          <w:sz w:val="24"/>
          <w:szCs w:val="24"/>
          <w:lang w:val="it-IT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>348-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2462524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b w:val="1"/>
          <w:bCs w:val="1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  <w:tab w:val="left" w:pos="9912"/>
        </w:tabs>
        <w:suppressAutoHyphens w:val="1"/>
        <w:bidi w:val="0"/>
        <w:spacing w:before="0"/>
        <w:ind w:left="0" w:right="0" w:firstLine="0"/>
        <w:jc w:val="left"/>
        <w:rPr>
          <w:rStyle w:val="Nessuno"/>
          <w:rFonts w:ascii="Arial" w:cs="Arial" w:hAnsi="Arial" w:eastAsia="Arial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  <w:tab w:val="left" w:pos="9912"/>
        </w:tabs>
        <w:suppressAutoHyphens w:val="1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HelveticaNeue Heavy" w:cs="HelveticaNeue Heavy" w:hAnsi="HelveticaNeue Heavy" w:eastAsia="HelveticaNeue Heavy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851" w:right="851" w:bottom="1418" w:left="851" w:header="1162" w:footer="340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reycliff CF Extra Bold">
    <w:charset w:val="00"/>
    <w:family w:val="roman"/>
    <w:pitch w:val="default"/>
  </w:font>
  <w:font w:name="Greycliff CF Bold">
    <w:charset w:val="00"/>
    <w:family w:val="roman"/>
    <w:pitch w:val="default"/>
  </w:font>
  <w:font w:name="HelveticaNeue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</w:p>
  <w:p>
    <w:pPr>
      <w:pStyle w:val="footer"/>
    </w:pPr>
    <w:r>
      <w:rPr>
        <w:rFonts w:cs="Arial Unicode MS" w:eastAsia="Arial Unicode MS"/>
        <w:rtl w:val="0"/>
        <w:lang w:val="en-US"/>
      </w:rPr>
      <w:t xml:space="preserve">Page </w:t>
    </w:r>
    <w:r>
      <w:rPr>
        <w:rFonts w:cs="Arial Unicode MS" w:eastAsia="Arial Unicode MS"/>
        <w:rtl w:val="0"/>
        <w:lang w:val="it-IT"/>
      </w:rPr>
      <w:t>2</w:t>
    </w:r>
    <w:r>
      <w:rPr>
        <w:rFonts w:cs="Arial Unicode MS" w:eastAsia="Arial Unicode MS"/>
        <w:rtl w:val="0"/>
        <w:lang w:val="en-US"/>
      </w:rPr>
      <w:t xml:space="preserve"> of </w:t>
    </w:r>
    <w:r>
      <w:rPr>
        <w:rFonts w:cs="Arial Unicode MS" w:eastAsia="Arial Unicode MS"/>
        <w:rtl w:val="0"/>
        <w:lang w:val="it-IT"/>
      </w:rPr>
      <w:t>2</w:t>
    </w:r>
    <w:r>
      <w:rPr>
        <w:rFonts w:cs="Arial Unicode MS" w:eastAsia="Arial Unicode MS"/>
        <w:rtl w:val="0"/>
        <w:lang w:val="en-US"/>
      </w:rPr>
      <w:t xml:space="preserve"> </w:t>
      <w:tab/>
      <w:t>Forest Stewardship Council</w:t>
    </w:r>
    <w:r>
      <w:rPr>
        <w:rFonts w:cs="Arial Unicode MS" w:eastAsia="Arial Unicode MS" w:hint="default"/>
        <w:vertAlign w:val="superscript"/>
        <w:rtl w:val="0"/>
        <w:lang w:val="en-US"/>
      </w:rPr>
      <w:t>®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Fonts w:cs="Arial Unicode MS" w:eastAsia="Arial Unicode MS"/>
        <w:rtl w:val="0"/>
        <w:lang w:val="en-US"/>
      </w:rPr>
      <w:t xml:space="preserve">Page </w:t>
    </w:r>
    <w:r>
      <w:rPr>
        <w:rFonts w:cs="Arial Unicode MS" w:eastAsia="Arial Unicode MS"/>
        <w:rtl w:val="0"/>
        <w:lang w:val="it-IT"/>
      </w:rPr>
      <w:t>1</w:t>
    </w:r>
    <w:r>
      <w:rPr>
        <w:rFonts w:cs="Arial Unicode MS" w:eastAsia="Arial Unicode MS"/>
        <w:rtl w:val="0"/>
        <w:lang w:val="en-US"/>
      </w:rPr>
      <w:t xml:space="preserve"> of </w:t>
    </w:r>
    <w:r>
      <w:rPr>
        <w:rFonts w:cs="Arial Unicode MS" w:eastAsia="Arial Unicode MS"/>
        <w:rtl w:val="0"/>
        <w:lang w:val="it-IT"/>
      </w:rPr>
      <w:t>2</w:t>
    </w:r>
    <w:r>
      <w:rPr>
        <w:rFonts w:cs="Arial Unicode MS" w:eastAsia="Arial Unicode MS"/>
        <w:rtl w:val="0"/>
        <w:lang w:val="en-US"/>
      </w:rPr>
      <w:t xml:space="preserve"> </w:t>
      <w:tab/>
      <w:t>Forest Stewardship Council</w:t>
    </w:r>
    <w:r>
      <w:rPr>
        <w:rFonts w:cs="Arial Unicode MS" w:eastAsia="Arial Unicode MS" w:hint="default"/>
        <w:vertAlign w:val="superscript"/>
        <w:rtl w:val="0"/>
        <w:lang w:val="en-US"/>
      </w:rPr>
      <w:t>®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5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-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26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-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80022" distB="180022" distL="180022" distR="180022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8281034</wp:posOffset>
              </wp:positionV>
              <wp:extent cx="7560000" cy="1872000"/>
              <wp:effectExtent l="0" t="0" r="0" b="0"/>
              <wp:wrapNone/>
              <wp:docPr id="1073741827" name="officeArt object" descr="Group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872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Address details"/>
                            <w:keepNext w:val="1"/>
                            <w:keepLines w:val="1"/>
                            <w:ind w:left="720"/>
                          </w:pP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ind w:left="720"/>
                          </w:pP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  <w:rPr>
                              <w:outline w:val="0"/>
                              <w:color w:val="262626"/>
                              <w:u w:color="262626"/>
                              <w:lang w:val="de-DE"/>
                              <w14:textFill>
                                <w14:solidFill>
                                  <w14:srgbClr w14:val="262626"/>
                                </w14:solidFill>
                              </w14:textFill>
                            </w:rPr>
                          </w:pP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Gestione Forestale Responsabile - Servizi. s.r.l impresa sociale - FSC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vertAlign w:val="superscript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®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rtl w:val="0"/>
                              <w:lang w:val="it-IT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Italia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it.fsc.org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FSC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vertAlign w:val="superscript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®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F000217</w:t>
                          </w:r>
                          <w:r>
                            <w:rPr>
                              <w:outline w:val="0"/>
                              <w:color w:val="262626"/>
                              <w:u w:color="262626"/>
                              <w:lang w:val="de-DE"/>
                              <w14:textFill>
                                <w14:solidFill>
                                  <w14:srgbClr w14:val="262626"/>
                                </w14:solidFill>
                              </w14:textFill>
                            </w:rPr>
                          </w:r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</w:pP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Via Ugo Foscolo 12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35131 Padova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Italia</w:t>
                          </w: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</w:pPr>
                          <w:r>
                            <w:rPr>
                              <w:b w:val="1"/>
                              <w:bCs w:val="1"/>
                              <w:rtl w:val="0"/>
                              <w:lang w:val="en-US"/>
                            </w:rPr>
                            <w:t xml:space="preserve">T 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>+</w:t>
                          </w:r>
                          <w:r>
                            <w:rPr>
                              <w:rtl w:val="0"/>
                              <w:lang w:val="it-IT"/>
                            </w:rPr>
                            <w:t>3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9 (0) </w:t>
                          </w:r>
                          <w:r>
                            <w:rPr>
                              <w:u w:color="262626"/>
                              <w:rtl w:val="0"/>
                              <w:lang w:val="de-DE"/>
                            </w:rPr>
                            <w:t>049 8762749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· </w:t>
                          </w:r>
                          <w:r>
                            <w:rPr>
                              <w:b w:val="1"/>
                              <w:bCs w:val="1"/>
                              <w:rtl w:val="0"/>
                              <w:lang w:val="it-IT"/>
                            </w:rPr>
                            <w:t>E</w:t>
                          </w:r>
                          <w:r>
                            <w:rPr>
                              <w:u w:color="262626"/>
                              <w:rtl w:val="0"/>
                              <w:lang w:val="de-DE"/>
                            </w:rPr>
                            <w:t xml:space="preserve"> info@fsc-italia.it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</w:t>
                          </w:r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</w:pPr>
                          <w:r>
                            <w:rPr>
                              <w:rtl w:val="0"/>
                              <w:lang w:val="en-US"/>
                            </w:rPr>
                            <w:t xml:space="preserve">Director: </w:t>
                          </w:r>
                          <w:r>
                            <w:rPr>
                              <w:rtl w:val="0"/>
                              <w:lang w:val="it-IT"/>
                            </w:rPr>
                            <w:t>Dr. Giuseppe Bonanno</w:t>
                          </w: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</w:pP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C.F/P. IVA 04894270281</w:t>
                          </w:r>
                          <w:r>
                            <w:rPr>
                              <w:outline w:val="0"/>
                              <w:color w:val="375c4f"/>
                              <w:u w:color="808080"/>
                              <w:rtl w:val="0"/>
                              <w:lang w:val="en-US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 </w:t>
                          </w:r>
                          <w:r>
                            <w:rPr>
                              <w:outline w:val="0"/>
                              <w:color w:val="375c4f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0.0pt;margin-top:652.0pt;width:595.3pt;height:147.4pt;z-index:-251656192;mso-position-horizontal:absolute;mso-position-horizontal-relative:page;mso-position-vertical:absolute;mso-position-vertical-relative:page;mso-wrap-distance-left:14.2pt;mso-wrap-distance-top:14.2pt;mso-wrap-distance-right:14.2pt;mso-wrap-distance-bottom:14.2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Address details"/>
                      <w:keepNext w:val="1"/>
                      <w:keepLines w:val="1"/>
                      <w:ind w:left="720"/>
                    </w:pP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ind w:left="720"/>
                    </w:pP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  <w:rPr>
                        <w:outline w:val="0"/>
                        <w:color w:val="262626"/>
                        <w:u w:color="262626"/>
                        <w:lang w:val="de-DE"/>
                        <w14:textFill>
                          <w14:solidFill>
                            <w14:srgbClr w14:val="262626"/>
                          </w14:solidFill>
                        </w14:textFill>
                      </w:rPr>
                    </w:pP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Gestione Forestale Responsabile - Servizi. s.r.l impresa sociale - FSC</w:t>
                    </w: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vertAlign w:val="superscript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®</w:t>
                    </w: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rtl w:val="0"/>
                        <w:lang w:val="it-IT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Italia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it.fsc.org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FSC</w:t>
                    </w:r>
                    <w:r>
                      <w:rPr>
                        <w:outline w:val="0"/>
                        <w:color w:val="375c4f"/>
                        <w:u w:color="262626"/>
                        <w:vertAlign w:val="superscript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®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F000217</w:t>
                    </w:r>
                    <w:r>
                      <w:rPr>
                        <w:outline w:val="0"/>
                        <w:color w:val="262626"/>
                        <w:u w:color="262626"/>
                        <w:lang w:val="de-DE"/>
                        <w14:textFill>
                          <w14:solidFill>
                            <w14:srgbClr w14:val="262626"/>
                          </w14:solidFill>
                        </w14:textFill>
                      </w:rPr>
                    </w:r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</w:pP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Via Ugo Foscolo 12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35131 Padova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Italia</w:t>
                    </w: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</w:pPr>
                    <w:r>
                      <w:rPr>
                        <w:b w:val="1"/>
                        <w:bCs w:val="1"/>
                        <w:rtl w:val="0"/>
                        <w:lang w:val="en-US"/>
                      </w:rPr>
                      <w:t xml:space="preserve">T </w:t>
                    </w:r>
                    <w:r>
                      <w:rPr>
                        <w:rtl w:val="0"/>
                        <w:lang w:val="en-US"/>
                      </w:rPr>
                      <w:t>+</w:t>
                    </w:r>
                    <w:r>
                      <w:rPr>
                        <w:rtl w:val="0"/>
                        <w:lang w:val="it-IT"/>
                      </w:rPr>
                      <w:t>3</w:t>
                    </w:r>
                    <w:r>
                      <w:rPr>
                        <w:rtl w:val="0"/>
                        <w:lang w:val="en-US"/>
                      </w:rPr>
                      <w:t xml:space="preserve">9 (0) </w:t>
                    </w:r>
                    <w:r>
                      <w:rPr>
                        <w:u w:color="262626"/>
                        <w:rtl w:val="0"/>
                        <w:lang w:val="de-DE"/>
                      </w:rPr>
                      <w:t>049 8762749</w:t>
                    </w:r>
                    <w:r>
                      <w:rPr>
                        <w:rtl w:val="0"/>
                        <w:lang w:val="en-US"/>
                      </w:rPr>
                      <w:t xml:space="preserve"> · </w:t>
                    </w:r>
                    <w:r>
                      <w:rPr>
                        <w:b w:val="1"/>
                        <w:bCs w:val="1"/>
                        <w:rtl w:val="0"/>
                        <w:lang w:val="it-IT"/>
                      </w:rPr>
                      <w:t>E</w:t>
                    </w:r>
                    <w:r>
                      <w:rPr>
                        <w:u w:color="262626"/>
                        <w:rtl w:val="0"/>
                        <w:lang w:val="de-DE"/>
                      </w:rPr>
                      <w:t xml:space="preserve"> info@fsc-italia.it</w:t>
                    </w:r>
                    <w:r>
                      <w:rPr>
                        <w:rtl w:val="0"/>
                        <w:lang w:val="en-US"/>
                      </w:rPr>
                      <w:t xml:space="preserve"> </w:t>
                    </w:r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</w:pPr>
                    <w:r>
                      <w:rPr>
                        <w:rtl w:val="0"/>
                        <w:lang w:val="en-US"/>
                      </w:rPr>
                      <w:t xml:space="preserve">Director: </w:t>
                    </w:r>
                    <w:r>
                      <w:rPr>
                        <w:rtl w:val="0"/>
                        <w:lang w:val="it-IT"/>
                      </w:rPr>
                      <w:t>Dr. Giuseppe Bonanno</w:t>
                    </w: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</w:pP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C.F/P. IVA 04894270281</w:t>
                    </w:r>
                    <w:r>
                      <w:rPr>
                        <w:outline w:val="0"/>
                        <w:color w:val="375c4f"/>
                        <w:u w:color="808080"/>
                        <w:rtl w:val="0"/>
                        <w:lang w:val="en-US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 </w:t>
                    </w:r>
                    <w:r>
                      <w:rPr>
                        <w:outline w:val="0"/>
                        <w:color w:val="375c4f"/>
                        <w14:textFill>
                          <w14:solidFill>
                            <w14:srgbClr w14:val="375C4F"/>
                          </w14:solidFill>
                        </w14:textFill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5916839</wp:posOffset>
          </wp:positionH>
          <wp:positionV relativeFrom="page">
            <wp:posOffset>8534400</wp:posOffset>
          </wp:positionV>
          <wp:extent cx="1099276" cy="482558"/>
          <wp:effectExtent l="0" t="0" r="0" b="0"/>
          <wp:wrapNone/>
          <wp:docPr id="1073741828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099276" cy="482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center" w:pos="4513"/>
        <w:tab w:val="right" w:pos="9026"/>
      </w:tabs>
      <w:spacing w:after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9" name="officeArt object" descr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0" style="visibility:visible;position:absolute;margin-left:-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30" name="officeArt object" descr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1" style="visibility:visible;position:absolute;margin-left:-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ind w:left="4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Address details">
    <w:name w:val="Address details"/>
    <w:next w:val="Address details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6"/>
      <w:szCs w:val="16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8"/>
      <w:szCs w:val="18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">
    <w:name w:val="Intestazione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40" w:line="264" w:lineRule="auto"/>
      <w:ind w:left="0" w:right="0" w:firstLine="0"/>
      <w:jc w:val="left"/>
      <w:outlineLvl w:val="0"/>
    </w:pPr>
    <w:rPr>
      <w:rFonts w:ascii="Greycliff CF Extra Bold" w:cs="Greycliff CF Extra Bold" w:hAnsi="Greycliff CF Extra Bold" w:eastAsia="Greycliff CF Extra Bold"/>
      <w:b w:val="0"/>
      <w:bCs w:val="0"/>
      <w:i w:val="0"/>
      <w:iCs w:val="0"/>
      <w:caps w:val="1"/>
      <w:strike w:val="0"/>
      <w:dstrike w:val="0"/>
      <w:outline w:val="0"/>
      <w:color w:val="285c4d"/>
      <w:spacing w:val="0"/>
      <w:kern w:val="0"/>
      <w:position w:val="0"/>
      <w:sz w:val="24"/>
      <w:szCs w:val="24"/>
      <w:u w:val="none" w:color="285c4d"/>
      <w:shd w:val="nil" w:color="auto" w:fill="auto"/>
      <w:vertAlign w:val="baseline"/>
      <w14:textOutline>
        <w14:noFill/>
      </w14:textOutline>
      <w14:textFill>
        <w14:solidFill>
          <w14:srgbClr w14:val="285C4D"/>
        </w14:solidFill>
      </w14:textFill>
    </w:rPr>
  </w:style>
  <w:style w:type="paragraph" w:styleId="Address block Header">
    <w:name w:val="Address block Header"/>
    <w:next w:val="Address block Head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64" w:lineRule="auto"/>
      <w:ind w:left="0" w:right="0" w:firstLine="0"/>
      <w:jc w:val="left"/>
      <w:outlineLvl w:val="9"/>
    </w:pPr>
    <w:rPr>
      <w:rFonts w:ascii="Greycliff CF Extra Bold" w:cs="Greycliff CF Extra Bold" w:hAnsi="Greycliff CF Extra Bold" w:eastAsia="Greycliff CF Extra Bold"/>
      <w:b w:val="1"/>
      <w:bCs w:val="1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22"/>
      <w:szCs w:val="22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563c1"/>
      <w:u w:val="single"/>
      <w14:textFill>
        <w14:solidFill>
          <w14:srgbClr w14:val="0563C1"/>
        </w14:solidFill>
      </w14:textFill>
    </w:rPr>
  </w:style>
  <w:style w:type="character" w:styleId="Hyperlink.1">
    <w:name w:val="Hyperlink.1"/>
    <w:basedOn w:val="Nessuno"/>
    <w:next w:val="Hyperlink.1"/>
    <w:rPr>
      <w:rFonts w:ascii="Arial" w:cs="Arial" w:hAnsi="Arial" w:eastAsia="Arial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8BE20"/>
      </a:accent1>
      <a:accent2>
        <a:srgbClr val="285C4D"/>
      </a:accent2>
      <a:accent3>
        <a:srgbClr val="F2A900"/>
      </a:accent3>
      <a:accent4>
        <a:srgbClr val="A1DA8E"/>
      </a:accent4>
      <a:accent5>
        <a:srgbClr val="5BC3F5"/>
      </a:accent5>
      <a:accent6>
        <a:srgbClr val="CBA4E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