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[Title]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5,6 milioni di euro per la natura: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il </w:t>
      </w:r>
      <w:r>
        <w:rPr>
          <w:sz w:val="22"/>
          <w:szCs w:val="22"/>
          <w:rtl w:val="0"/>
          <w:lang w:val="es-ES_tradnl"/>
        </w:rPr>
        <w:t xml:space="preserve">bando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it-IT"/>
        </w:rPr>
        <w:t>Biodiversit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e Clima</w:t>
      </w:r>
      <w:r>
        <w:rPr>
          <w:sz w:val="22"/>
          <w:szCs w:val="22"/>
          <w:rtl w:val="0"/>
          <w:lang w:val="it-IT"/>
        </w:rPr>
        <w:t>”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[Subtitle]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Approvata da Regione Lombardia la graduatoria dei progetti candidati sul Bando Bioclima (D.d.u.o. 11854 del 9/08/2022): 12 progetti, per un contributo regionale totale pari a circa 3,5 milioni di euro, che sanciscono la nascita della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grande partnership pubblico-privata mai realizzata in Europa per la conservazione della biodiversit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e la valorizzazione dei servizi ecosistemici forestali.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[Body]</w:t>
      </w:r>
    </w:p>
    <w:p>
      <w:pPr>
        <w:pStyle w:val="Di default A"/>
        <w:suppressAutoHyphens w:val="1"/>
        <w:spacing w:before="0" w:line="264" w:lineRule="auto"/>
        <w:rPr>
          <w:rStyle w:val="Nessuno"/>
          <w:sz w:val="22"/>
          <w:szCs w:val="22"/>
        </w:rPr>
      </w:pPr>
      <w:r>
        <w:rPr>
          <w:sz w:val="22"/>
          <w:szCs w:val="22"/>
          <w:rtl w:val="0"/>
          <w:lang w:val="it-IT"/>
        </w:rPr>
        <w:t>Padova, 20 Settembre 2022 - Il bando, nato dal progetto LIFE Gestire 2020 (</w:t>
      </w:r>
      <w:r>
        <w:rPr>
          <w:rStyle w:val="Hyperlink.0"/>
          <w:outline w:val="0"/>
          <w:color w:val="1155cc"/>
          <w:sz w:val="22"/>
          <w:szCs w:val="22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outline w:val="0"/>
          <w:color w:val="1155cc"/>
          <w:sz w:val="22"/>
          <w:szCs w:val="22"/>
          <w:u w:val="single" w:color="1155cc"/>
          <w:lang w:val="it-IT"/>
          <w14:textFill>
            <w14:solidFill>
              <w14:srgbClr w14:val="1155CC"/>
            </w14:solidFill>
          </w14:textFill>
        </w:rPr>
        <w:instrText xml:space="preserve"> HYPERLINK "http://www.naturachevale.it/"</w:instrText>
      </w:r>
      <w:r>
        <w:rPr>
          <w:rStyle w:val="Hyperlink.0"/>
          <w:outline w:val="0"/>
          <w:color w:val="1155cc"/>
          <w:sz w:val="22"/>
          <w:szCs w:val="22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www.naturachevale.it</w:t>
      </w:r>
      <w:r>
        <w:rPr/>
        <w:fldChar w:fldCharType="end" w:fldLock="0"/>
      </w:r>
      <w:r>
        <w:rPr>
          <w:rStyle w:val="Nessuno"/>
          <w:sz w:val="22"/>
          <w:szCs w:val="22"/>
          <w:rtl w:val="0"/>
          <w:lang w:val="it-IT"/>
        </w:rPr>
        <w:t xml:space="preserve">) </w:t>
      </w:r>
      <w:r>
        <w:rPr>
          <w:rStyle w:val="Nessuno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sz w:val="22"/>
          <w:szCs w:val="22"/>
          <w:rtl w:val="0"/>
          <w:lang w:val="it-IT"/>
        </w:rPr>
        <w:t xml:space="preserve">rivolto agli enti gestori di foreste e aree protette e prevede la candidatura di progetti finanziati al 70% da Regione Lombardia e al 30% da fonti private. Agli enti interessati </w:t>
      </w:r>
      <w:r>
        <w:rPr>
          <w:rStyle w:val="Nessuno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sz w:val="22"/>
          <w:szCs w:val="22"/>
          <w:rtl w:val="0"/>
          <w:lang w:val="it-IT"/>
        </w:rPr>
        <w:t>stato messo a disposizione un servizio di assistenza tecnica erogato dallo spin-off dell</w:t>
      </w:r>
      <w:r>
        <w:rPr>
          <w:rStyle w:val="Nessuno"/>
          <w:sz w:val="22"/>
          <w:szCs w:val="22"/>
          <w:rtl w:val="1"/>
          <w:lang w:val="ar-SA" w:bidi="ar-SA"/>
        </w:rPr>
        <w:t>’</w:t>
      </w:r>
      <w:r>
        <w:rPr>
          <w:rStyle w:val="Nessuno"/>
          <w:sz w:val="22"/>
          <w:szCs w:val="22"/>
          <w:rtl w:val="0"/>
          <w:lang w:val="it-IT"/>
        </w:rPr>
        <w:t>Universit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Padova Etifor (socio nazionale e internazionale di FSC) grazie al contributo di Fondazione Cariplo. Il servizio di assistenza ha facilitato la candidatura di ben 17 progetti, 12 dei quali risultano vincitori, supportando i candidati durante la progettazione degli interventi legati alla misurazione, verifica indipendente e valorizzazione dei servizi ecosistemici e nell</w:t>
      </w:r>
      <w:r>
        <w:rPr>
          <w:rStyle w:val="Nessuno"/>
          <w:sz w:val="22"/>
          <w:szCs w:val="22"/>
          <w:rtl w:val="1"/>
          <w:lang w:val="ar-SA" w:bidi="ar-SA"/>
        </w:rPr>
        <w:t>’</w:t>
      </w:r>
      <w:r>
        <w:rPr>
          <w:rStyle w:val="Nessuno"/>
          <w:sz w:val="22"/>
          <w:szCs w:val="22"/>
          <w:rtl w:val="0"/>
          <w:lang w:val="it-IT"/>
        </w:rPr>
        <w:t>attivit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reperimento del co-finanziamento.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Gli obiettivi principali del bando </w:t>
      </w:r>
      <w:r>
        <w:rPr>
          <w:rStyle w:val="Nessuno"/>
          <w:sz w:val="22"/>
          <w:szCs w:val="22"/>
          <w:rtl w:val="1"/>
          <w:lang w:val="ar-SA" w:bidi="ar-SA"/>
        </w:rPr>
        <w:t>“</w:t>
      </w:r>
      <w:r>
        <w:rPr>
          <w:rStyle w:val="Nessuno"/>
          <w:sz w:val="22"/>
          <w:szCs w:val="22"/>
          <w:rtl w:val="0"/>
          <w:lang w:val="it-IT"/>
        </w:rPr>
        <w:t>Biodiversit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e Clima</w:t>
      </w:r>
      <w:r>
        <w:rPr>
          <w:rStyle w:val="Nessuno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sz w:val="22"/>
          <w:szCs w:val="22"/>
          <w:rtl w:val="0"/>
          <w:lang w:val="it-IT"/>
        </w:rPr>
        <w:t>(BioClima) si possono riassumere con tre temi chiave: conservazione della biodiversit</w:t>
      </w:r>
      <w:r>
        <w:rPr>
          <w:rStyle w:val="Nessuno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>, contrasto al cambiamento climatico, valorizzazione dei servizi ecosistemici. Il tutto grazie a una formula innovativa che permette a enti pubblici e privati di lavorare insieme massimizzando i risultati degli investimenti.</w:t>
      </w:r>
      <w:r>
        <w:rPr>
          <w:rStyle w:val="Nessuno"/>
          <w:sz w:val="22"/>
          <w:szCs w:val="22"/>
          <w:rtl w:val="0"/>
          <w:lang w:val="it-IT"/>
        </w:rPr>
        <w:t> 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Ben 8 habitat di interesse europeo verranno coinvolti (i pi</w:t>
      </w:r>
      <w:r>
        <w:rPr>
          <w:rStyle w:val="Nessuno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sz w:val="22"/>
          <w:szCs w:val="22"/>
          <w:rtl w:val="0"/>
          <w:lang w:val="it-IT"/>
        </w:rPr>
        <w:t>rappresentati sono le foreste ripariali dei grandi fiumi e i prati aridi) e pi</w:t>
      </w:r>
      <w:r>
        <w:rPr>
          <w:rStyle w:val="Nessuno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sz w:val="22"/>
          <w:szCs w:val="22"/>
          <w:rtl w:val="0"/>
          <w:lang w:val="it-IT"/>
        </w:rPr>
        <w:t>di 70 specie faunistiche saranno favorite dagli interventi forestali e di rinforzo previsti nei progetti. I progetti avranno l</w:t>
      </w:r>
      <w:r>
        <w:rPr>
          <w:rStyle w:val="Nessuno"/>
          <w:sz w:val="22"/>
          <w:szCs w:val="22"/>
          <w:rtl w:val="1"/>
          <w:lang w:val="ar-SA" w:bidi="ar-SA"/>
        </w:rPr>
        <w:t>’</w:t>
      </w:r>
      <w:r>
        <w:rPr>
          <w:rStyle w:val="Nessuno"/>
          <w:sz w:val="22"/>
          <w:szCs w:val="22"/>
          <w:rtl w:val="0"/>
          <w:lang w:val="it-IT"/>
        </w:rPr>
        <w:t>obiettivo di conseguire la certificazione di gestione forestale responsabile secondo lo standard FSC, che permette anche di verificare e quantificare in maniera indipendente i servizi ecosistemici generati (come conservazione della biodiversit</w:t>
      </w:r>
      <w:r>
        <w:rPr>
          <w:rStyle w:val="Nessuno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>, del suolo, delle fonti idriche e delle funzioni turistico-ricreative e culturali) che a sua volta possono essere sponsorizzati da aziende private in linea con le proprie strategie di contrasto al cambiamento climatico.</w:t>
      </w:r>
      <w:r>
        <w:rPr>
          <w:rStyle w:val="Nessuno"/>
          <w:sz w:val="22"/>
          <w:szCs w:val="22"/>
          <w:rtl w:val="0"/>
          <w:lang w:val="it-IT"/>
        </w:rPr>
        <w:t> 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“</w:t>
      </w:r>
      <w:r>
        <w:rPr>
          <w:rStyle w:val="Nessuno"/>
          <w:sz w:val="22"/>
          <w:szCs w:val="22"/>
          <w:rtl w:val="0"/>
          <w:lang w:val="it-IT"/>
        </w:rPr>
        <w:t xml:space="preserve">FSC Italia </w:t>
      </w:r>
      <w:r>
        <w:rPr>
          <w:rStyle w:val="Nessuno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sz w:val="22"/>
          <w:szCs w:val="22"/>
          <w:rtl w:val="0"/>
          <w:lang w:val="it-IT"/>
        </w:rPr>
        <w:t xml:space="preserve">orgogliosa di poter mettere a disposizione di questa iniziativa il proprio bagaglio di conoscenze e di network - ha commentato </w:t>
      </w:r>
      <w:r>
        <w:rPr>
          <w:rStyle w:val="Nessuno"/>
          <w:sz w:val="22"/>
          <w:szCs w:val="22"/>
          <w:rtl w:val="0"/>
          <w:lang w:val="it-IT"/>
        </w:rPr>
        <w:t xml:space="preserve">Ilaria Dalla Vecchia, </w:t>
      </w:r>
      <w:r>
        <w:rPr>
          <w:rStyle w:val="Nessuno"/>
          <w:sz w:val="22"/>
          <w:szCs w:val="22"/>
          <w:rtl w:val="0"/>
          <w:lang w:val="it-IT"/>
        </w:rPr>
        <w:t>F</w:t>
      </w:r>
      <w:r>
        <w:rPr>
          <w:rStyle w:val="Nessuno"/>
          <w:sz w:val="22"/>
          <w:szCs w:val="22"/>
          <w:rtl w:val="0"/>
          <w:lang w:val="it-IT"/>
        </w:rPr>
        <w:t xml:space="preserve">orest </w:t>
      </w:r>
      <w:r>
        <w:rPr>
          <w:rStyle w:val="Nessuno"/>
          <w:sz w:val="22"/>
          <w:szCs w:val="22"/>
          <w:rtl w:val="0"/>
          <w:lang w:val="it-IT"/>
        </w:rPr>
        <w:t>M</w:t>
      </w:r>
      <w:r>
        <w:rPr>
          <w:rStyle w:val="Nessuno"/>
          <w:sz w:val="22"/>
          <w:szCs w:val="22"/>
          <w:rtl w:val="0"/>
          <w:lang w:val="it-IT"/>
        </w:rPr>
        <w:t>anagement</w:t>
      </w:r>
      <w:r>
        <w:rPr>
          <w:rStyle w:val="Nessuno"/>
          <w:sz w:val="22"/>
          <w:szCs w:val="22"/>
          <w:rtl w:val="0"/>
          <w:lang w:val="it-IT"/>
        </w:rPr>
        <w:t xml:space="preserve"> standard manager</w:t>
      </w:r>
      <w:r>
        <w:rPr>
          <w:rStyle w:val="Nessuno"/>
          <w:sz w:val="22"/>
          <w:szCs w:val="22"/>
          <w:rtl w:val="0"/>
          <w:lang w:val="it-IT"/>
        </w:rPr>
        <w:t xml:space="preserve"> di FSC Italia</w:t>
      </w:r>
      <w:r>
        <w:rPr>
          <w:rStyle w:val="Nessuno"/>
          <w:sz w:val="22"/>
          <w:szCs w:val="22"/>
          <w:rtl w:val="0"/>
          <w:lang w:val="it-IT"/>
        </w:rPr>
        <w:t xml:space="preserve"> - Attraverso il progetto, abbiamo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occasione di sperimentare le modalit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interazione pubblico-privato per la conservazione degli habitat naturali esistenti, e di promuovere la certificazione come strumento riconosciuto e credibile di quantificazione degli impatti positivi generati. Le foreste infatti sono sempre pi</w:t>
      </w:r>
      <w:r>
        <w:rPr>
          <w:rStyle w:val="Nessuno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sz w:val="22"/>
          <w:szCs w:val="22"/>
          <w:rtl w:val="0"/>
          <w:lang w:val="it-IT"/>
        </w:rPr>
        <w:t xml:space="preserve">riconosciute </w:t>
      </w:r>
      <w:r>
        <w:rPr>
          <w:rStyle w:val="Nessuno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sz w:val="22"/>
          <w:szCs w:val="22"/>
          <w:rtl w:val="0"/>
          <w:lang w:val="it-IT"/>
        </w:rPr>
        <w:t xml:space="preserve">dai cittadini e dalle istituzioni -  come generatrici di servizi naturali e non solo </w:t>
      </w:r>
      <w:r>
        <w:rPr>
          <w:rStyle w:val="Nessuno"/>
          <w:sz w:val="22"/>
          <w:szCs w:val="22"/>
          <w:rtl w:val="0"/>
          <w:lang w:val="it-IT"/>
        </w:rPr>
        <w:t xml:space="preserve">come fonte </w:t>
      </w:r>
      <w:r>
        <w:rPr>
          <w:rStyle w:val="Nessuno"/>
          <w:sz w:val="22"/>
          <w:szCs w:val="22"/>
          <w:rtl w:val="0"/>
          <w:lang w:val="it-IT"/>
        </w:rPr>
        <w:t>di prodotti come il legname o i funghi</w:t>
      </w:r>
      <w:r>
        <w:rPr>
          <w:rStyle w:val="Nessuno"/>
          <w:sz w:val="22"/>
          <w:szCs w:val="22"/>
          <w:rtl w:val="0"/>
          <w:lang w:val="it-IT"/>
        </w:rPr>
        <w:t>”</w:t>
      </w:r>
      <w:r>
        <w:rPr>
          <w:rStyle w:val="Nessuno"/>
          <w:sz w:val="22"/>
          <w:szCs w:val="22"/>
          <w:rtl w:val="0"/>
          <w:lang w:val="it-IT"/>
        </w:rPr>
        <w:t xml:space="preserve">. 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Grazie alle risorse mobilitate da Regione Lombardia e dai soggetti privati interessati al co-finanziamento, si stima infatti il miglioramento di circa 270 ettari di boschi esistenti e la creazione di oltre 18 ettari di nuove superfici arborate con la messa a dimora di almeno 66.000 piante.</w:t>
      </w:r>
      <w:r>
        <w:rPr>
          <w:rStyle w:val="Nessuno"/>
          <w:sz w:val="22"/>
          <w:szCs w:val="22"/>
          <w:rtl w:val="0"/>
          <w:lang w:val="it-IT"/>
        </w:rPr>
        <w:t> </w:t>
      </w:r>
    </w:p>
    <w:p>
      <w:pPr>
        <w:pStyle w:val="Di default A"/>
        <w:suppressAutoHyphens w:val="1"/>
        <w:spacing w:before="0" w:line="264" w:lineRule="auto"/>
        <w:rPr>
          <w:sz w:val="22"/>
          <w:szCs w:val="22"/>
        </w:rPr>
      </w:pPr>
    </w:p>
    <w:p>
      <w:pPr>
        <w:pStyle w:val="Di default A"/>
        <w:suppressAutoHyphens w:val="1"/>
        <w:spacing w:before="0" w:line="264" w:lineRule="auto"/>
      </w:pPr>
      <w:r>
        <w:rPr>
          <w:rStyle w:val="Nessuno"/>
          <w:sz w:val="22"/>
          <w:szCs w:val="22"/>
          <w:rtl w:val="0"/>
          <w:lang w:val="it-IT"/>
        </w:rPr>
        <w:t>I progetti vincitori saranno presenti all</w:t>
      </w:r>
      <w:r>
        <w:rPr>
          <w:rStyle w:val="Nessuno"/>
          <w:sz w:val="22"/>
          <w:szCs w:val="22"/>
          <w:rtl w:val="1"/>
          <w:lang w:val="ar-SA" w:bidi="ar-SA"/>
        </w:rPr>
        <w:t>’</w:t>
      </w:r>
      <w:r>
        <w:rPr>
          <w:rStyle w:val="Nessuno"/>
          <w:sz w:val="22"/>
          <w:szCs w:val="22"/>
          <w:rtl w:val="0"/>
          <w:lang w:val="it-IT"/>
        </w:rPr>
        <w:t>interno del portale wownature.eu.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1155cc"/>
      <w:sz w:val="22"/>
      <w:szCs w:val="22"/>
      <w:u w:val="single" w:color="1155cc"/>
      <w:lang w:val="it-IT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